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5" w:rsidRDefault="00281621" w:rsidP="00B979E6">
      <w:pPr>
        <w:rPr>
          <w:rFonts w:ascii="Sassoon Primary" w:hAnsi="Sassoon Primary"/>
          <w:b/>
          <w:sz w:val="20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43397C0B" wp14:editId="0F588B04">
            <wp:simplePos x="0" y="0"/>
            <wp:positionH relativeFrom="margin">
              <wp:posOffset>5615305</wp:posOffset>
            </wp:positionH>
            <wp:positionV relativeFrom="paragraph">
              <wp:posOffset>-276035</wp:posOffset>
            </wp:positionV>
            <wp:extent cx="1031225" cy="1031225"/>
            <wp:effectExtent l="0" t="0" r="0" b="0"/>
            <wp:wrapNone/>
            <wp:docPr id="2" name="irc_mi" descr="Image result for langstone junior portsmout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ngstone junior portsmout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25" cy="10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5E" w:rsidRPr="00554D15">
        <w:rPr>
          <w:rFonts w:ascii="Sassoon Primary" w:hAnsi="Sassoon Primary"/>
          <w:b/>
          <w:sz w:val="20"/>
          <w:szCs w:val="20"/>
        </w:rPr>
        <w:t xml:space="preserve"> </w:t>
      </w:r>
    </w:p>
    <w:p w:rsidR="00E27A73" w:rsidRDefault="00265982" w:rsidP="00B979E6">
      <w:pPr>
        <w:jc w:val="center"/>
        <w:rPr>
          <w:rFonts w:ascii="Sassoon Primary" w:hAnsi="Sassoon Primary"/>
          <w:b/>
          <w:sz w:val="20"/>
          <w:szCs w:val="20"/>
          <w:u w:val="single"/>
        </w:rPr>
      </w:pPr>
      <w:r w:rsidRPr="004A6A3E">
        <w:rPr>
          <w:rFonts w:ascii="Sassoon Primary" w:hAnsi="Sassoon Primary"/>
          <w:b/>
          <w:sz w:val="20"/>
          <w:szCs w:val="20"/>
          <w:u w:val="single"/>
        </w:rPr>
        <w:t>Y</w:t>
      </w:r>
      <w:r w:rsidR="00A96882">
        <w:rPr>
          <w:rFonts w:ascii="Sassoon Primary" w:hAnsi="Sassoon Primary"/>
          <w:b/>
          <w:sz w:val="20"/>
          <w:szCs w:val="20"/>
          <w:u w:val="single"/>
        </w:rPr>
        <w:t>ear 4</w:t>
      </w:r>
    </w:p>
    <w:p w:rsidR="0053553B" w:rsidRDefault="0053553B" w:rsidP="00B979E6">
      <w:pPr>
        <w:rPr>
          <w:rFonts w:ascii="Sassoon Primary" w:hAnsi="Sassoon Primary"/>
          <w:b/>
          <w:sz w:val="20"/>
          <w:szCs w:val="20"/>
          <w:u w:val="single"/>
        </w:rPr>
      </w:pPr>
    </w:p>
    <w:p w:rsidR="00265982" w:rsidRPr="00554D15" w:rsidRDefault="003E2455" w:rsidP="00B979E6">
      <w:pPr>
        <w:rPr>
          <w:rFonts w:ascii="Sassoon Primary" w:hAnsi="Sassoon Primary"/>
          <w:sz w:val="20"/>
          <w:szCs w:val="20"/>
        </w:rPr>
      </w:pPr>
      <w:r>
        <w:rPr>
          <w:rFonts w:ascii="Sassoon Primary" w:hAnsi="Sassoon Primary"/>
          <w:sz w:val="20"/>
          <w:szCs w:val="20"/>
        </w:rPr>
        <w:t>This is the s</w:t>
      </w:r>
      <w:r w:rsidR="0053553B">
        <w:rPr>
          <w:rFonts w:ascii="Sassoon Primary" w:hAnsi="Sassoon Primary"/>
          <w:sz w:val="20"/>
          <w:szCs w:val="20"/>
        </w:rPr>
        <w:t>pelling</w:t>
      </w:r>
      <w:r>
        <w:rPr>
          <w:rFonts w:ascii="Sassoon Primary" w:hAnsi="Sassoon Primary"/>
          <w:sz w:val="20"/>
          <w:szCs w:val="20"/>
        </w:rPr>
        <w:t xml:space="preserve"> progression document for year 4</w:t>
      </w:r>
      <w:r w:rsidR="0053553B">
        <w:rPr>
          <w:rFonts w:ascii="Sassoon Primary" w:hAnsi="Sassoon Primary"/>
          <w:sz w:val="20"/>
          <w:szCs w:val="20"/>
        </w:rPr>
        <w:t>. This includes what should be taught, what should be revised while still leaving room for teachers</w:t>
      </w:r>
      <w:r w:rsidR="00B979E6">
        <w:rPr>
          <w:rFonts w:ascii="Sassoon Primary" w:hAnsi="Sassoon Primary"/>
          <w:sz w:val="20"/>
          <w:szCs w:val="20"/>
        </w:rPr>
        <w:t xml:space="preserve"> to use assessment for learning</w:t>
      </w:r>
      <w:r w:rsidR="0053553B">
        <w:rPr>
          <w:rFonts w:ascii="Sassoon Primary" w:hAnsi="Sassoon Primary"/>
          <w:sz w:val="20"/>
          <w:szCs w:val="20"/>
        </w:rPr>
        <w:t xml:space="preserve"> to adapt to the needs of the children</w:t>
      </w:r>
      <w:r w:rsidR="00A6494E">
        <w:rPr>
          <w:rFonts w:ascii="Sassoon Primary" w:hAnsi="Sassoon Primary"/>
          <w:sz w:val="20"/>
          <w:szCs w:val="20"/>
        </w:rPr>
        <w:t>. Throughout the units ch</w:t>
      </w:r>
      <w:r w:rsidR="00B979E6">
        <w:rPr>
          <w:rFonts w:ascii="Sassoon Primary" w:hAnsi="Sassoon Primary"/>
          <w:sz w:val="20"/>
          <w:szCs w:val="20"/>
        </w:rPr>
        <w:t>ildre</w:t>
      </w:r>
      <w:r w:rsidR="00A6494E">
        <w:rPr>
          <w:rFonts w:ascii="Sassoon Primary" w:hAnsi="Sassoon Primary"/>
          <w:sz w:val="20"/>
          <w:szCs w:val="20"/>
        </w:rPr>
        <w:t xml:space="preserve">n will also be taught a </w:t>
      </w:r>
      <w:r w:rsidR="00B979E6">
        <w:rPr>
          <w:rFonts w:ascii="Sassoon Primary" w:hAnsi="Sassoon Primary"/>
          <w:sz w:val="20"/>
          <w:szCs w:val="20"/>
        </w:rPr>
        <w:t>variety</w:t>
      </w:r>
      <w:r w:rsidR="00A6494E">
        <w:rPr>
          <w:rFonts w:ascii="Sassoon Primary" w:hAnsi="Sassoon Primary"/>
          <w:sz w:val="20"/>
          <w:szCs w:val="20"/>
        </w:rPr>
        <w:t xml:space="preserve"> of revision </w:t>
      </w:r>
      <w:r w:rsidR="004A1A06">
        <w:rPr>
          <w:rFonts w:ascii="Sassoon Primary" w:hAnsi="Sassoon Primary"/>
          <w:sz w:val="20"/>
          <w:szCs w:val="20"/>
        </w:rPr>
        <w:t>strategies</w:t>
      </w:r>
      <w:r w:rsidR="00A6494E">
        <w:rPr>
          <w:rFonts w:ascii="Sassoon Primary" w:hAnsi="Sassoon Primary"/>
          <w:sz w:val="20"/>
          <w:szCs w:val="20"/>
        </w:rPr>
        <w:t xml:space="preserve"> and assessed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063"/>
        <w:gridCol w:w="3552"/>
        <w:gridCol w:w="1106"/>
      </w:tblGrid>
      <w:tr w:rsidR="00B53DDF" w:rsidRPr="00554D15" w:rsidTr="0053553B">
        <w:tc>
          <w:tcPr>
            <w:tcW w:w="2735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Term</w:t>
            </w:r>
          </w:p>
        </w:tc>
        <w:tc>
          <w:tcPr>
            <w:tcW w:w="3063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554D15">
              <w:rPr>
                <w:rFonts w:ascii="Sassoon Primary" w:hAnsi="Sassoon Primary"/>
                <w:b/>
                <w:sz w:val="20"/>
                <w:szCs w:val="20"/>
              </w:rPr>
              <w:t>Objective</w:t>
            </w:r>
          </w:p>
        </w:tc>
        <w:tc>
          <w:tcPr>
            <w:tcW w:w="3552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Examples</w:t>
            </w:r>
            <w:bookmarkStart w:id="0" w:name="_GoBack"/>
            <w:bookmarkEnd w:id="0"/>
          </w:p>
        </w:tc>
        <w:tc>
          <w:tcPr>
            <w:tcW w:w="1106" w:type="dxa"/>
          </w:tcPr>
          <w:p w:rsidR="0053553B" w:rsidRPr="00554D15" w:rsidRDefault="00981AE9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Taught</w:t>
            </w:r>
          </w:p>
        </w:tc>
      </w:tr>
      <w:tr w:rsidR="00DC692B" w:rsidRPr="00554D15" w:rsidTr="0053553B">
        <w:tc>
          <w:tcPr>
            <w:tcW w:w="2735" w:type="dxa"/>
            <w:vMerge w:val="restart"/>
          </w:tcPr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Autumn</w:t>
            </w:r>
          </w:p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Revision:</w:t>
            </w:r>
          </w:p>
          <w:p w:rsidR="00DC692B" w:rsidRDefault="00DC692B" w:rsidP="00E46B6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Year 2: possessive apostrophe with singular proper nouns </w:t>
            </w:r>
          </w:p>
          <w:p w:rsidR="00DC692B" w:rsidRPr="00E46B6F" w:rsidRDefault="00DC692B" w:rsidP="00E46B6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53553B" w:rsidRDefault="00DC692B" w:rsidP="00EA64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Words ending 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ʒə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</w:p>
        </w:tc>
        <w:tc>
          <w:tcPr>
            <w:tcW w:w="3552" w:type="dxa"/>
          </w:tcPr>
          <w:p w:rsidR="00DC692B" w:rsidRPr="0053553B" w:rsidRDefault="00DC692B" w:rsidP="00B979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(treasure, measure, pleasure, enclosure, closure)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4A1A06" w:rsidRDefault="00DC692B" w:rsidP="00EA64D9">
            <w:pPr>
              <w:pStyle w:val="Default"/>
              <w:spacing w:before="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Homophones </w:t>
            </w:r>
          </w:p>
        </w:tc>
        <w:tc>
          <w:tcPr>
            <w:tcW w:w="3552" w:type="dxa"/>
          </w:tcPr>
          <w:p w:rsidR="00DC692B" w:rsidRPr="004A1A06" w:rsidRDefault="00DC692B" w:rsidP="00B979E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peace/piece, main/mane, fair/fare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53553B" w:rsidRDefault="00DC692B" w:rsidP="00B979E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Prefixes ‘in-’, ‘</w:t>
            </w:r>
            <w:proofErr w:type="spellStart"/>
            <w:r>
              <w:rPr>
                <w:b/>
                <w:bCs/>
                <w:sz w:val="20"/>
                <w:szCs w:val="20"/>
              </w:rPr>
              <w:t>il</w:t>
            </w:r>
            <w:proofErr w:type="spellEnd"/>
            <w:r>
              <w:rPr>
                <w:b/>
                <w:bCs/>
                <w:sz w:val="20"/>
                <w:szCs w:val="20"/>
              </w:rPr>
              <w:t>-’, ‘</w:t>
            </w:r>
            <w:proofErr w:type="spellStart"/>
            <w:r>
              <w:rPr>
                <w:b/>
                <w:bCs/>
                <w:sz w:val="20"/>
                <w:szCs w:val="20"/>
              </w:rPr>
              <w:t>im</w:t>
            </w:r>
            <w:proofErr w:type="spellEnd"/>
            <w:r>
              <w:rPr>
                <w:b/>
                <w:bCs/>
                <w:sz w:val="20"/>
                <w:szCs w:val="20"/>
              </w:rPr>
              <w:t>-’ and ‘</w:t>
            </w:r>
            <w:proofErr w:type="spellStart"/>
            <w:r>
              <w:rPr>
                <w:b/>
                <w:bCs/>
                <w:sz w:val="20"/>
                <w:szCs w:val="20"/>
              </w:rPr>
              <w:t>ir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-’ </w:t>
            </w:r>
          </w:p>
        </w:tc>
        <w:tc>
          <w:tcPr>
            <w:tcW w:w="3552" w:type="dxa"/>
          </w:tcPr>
          <w:p w:rsidR="00DC692B" w:rsidRDefault="00DC692B" w:rsidP="00B979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mean “not”</w:t>
            </w:r>
          </w:p>
          <w:p w:rsidR="00DC692B" w:rsidRPr="0053553B" w:rsidRDefault="00DC692B" w:rsidP="00B979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(Independent, illiterate, immature, irresponsible.)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4A1A06" w:rsidRDefault="00DC692B" w:rsidP="00B979E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Words with the 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eɪ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sound spelt ‘</w:t>
            </w:r>
            <w:proofErr w:type="spellStart"/>
            <w:r>
              <w:rPr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b/>
                <w:bCs/>
                <w:sz w:val="20"/>
                <w:szCs w:val="20"/>
              </w:rPr>
              <w:t>’, ‘</w:t>
            </w:r>
            <w:proofErr w:type="spellStart"/>
            <w:r>
              <w:rPr>
                <w:b/>
                <w:bCs/>
                <w:sz w:val="20"/>
                <w:szCs w:val="20"/>
              </w:rPr>
              <w:t>eigh</w:t>
            </w:r>
            <w:proofErr w:type="spellEnd"/>
            <w:r>
              <w:rPr>
                <w:b/>
                <w:bCs/>
                <w:sz w:val="20"/>
                <w:szCs w:val="20"/>
              </w:rPr>
              <w:t>’ or ‘</w:t>
            </w:r>
            <w:proofErr w:type="spellStart"/>
            <w:r>
              <w:rPr>
                <w:b/>
                <w:bCs/>
                <w:sz w:val="20"/>
                <w:szCs w:val="20"/>
              </w:rPr>
              <w:t>ey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DC692B" w:rsidRPr="00554D15" w:rsidRDefault="00DC692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(eight, weigh, grey, sleigh)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4A1A06" w:rsidRDefault="00DC692B" w:rsidP="00B979E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Words with the </w:t>
            </w:r>
            <w:r>
              <w:rPr>
                <w:sz w:val="20"/>
                <w:szCs w:val="20"/>
              </w:rPr>
              <w:t xml:space="preserve">/ʃ/ </w:t>
            </w:r>
            <w:r>
              <w:rPr>
                <w:b/>
                <w:bCs/>
                <w:sz w:val="20"/>
                <w:szCs w:val="20"/>
              </w:rPr>
              <w:t>sound spelt ‘</w:t>
            </w:r>
            <w:proofErr w:type="spellStart"/>
            <w:r>
              <w:rPr>
                <w:b/>
                <w:bCs/>
                <w:sz w:val="20"/>
                <w:szCs w:val="20"/>
              </w:rPr>
              <w:t>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and the </w:t>
            </w:r>
            <w:r>
              <w:rPr>
                <w:sz w:val="20"/>
                <w:szCs w:val="20"/>
              </w:rPr>
              <w:t xml:space="preserve">/ʌ/ </w:t>
            </w:r>
            <w:r>
              <w:rPr>
                <w:b/>
                <w:bCs/>
                <w:sz w:val="20"/>
                <w:szCs w:val="20"/>
              </w:rPr>
              <w:t>sound spelt ‘</w:t>
            </w:r>
            <w:proofErr w:type="spellStart"/>
            <w:r>
              <w:rPr>
                <w:b/>
                <w:bCs/>
                <w:sz w:val="20"/>
                <w:szCs w:val="20"/>
              </w:rPr>
              <w:t>ou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(chef, brochure, parachute, machine)</w:t>
            </w:r>
          </w:p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(young, touch, trouble, country)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E46B6F" w:rsidRDefault="00DC692B" w:rsidP="00E46B6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Adding suffixes beginning with vowel letters to words of more than one syllable (‘-</w:t>
            </w:r>
            <w:proofErr w:type="spellStart"/>
            <w:r>
              <w:rPr>
                <w:b/>
                <w:bCs/>
                <w:sz w:val="20"/>
                <w:szCs w:val="20"/>
              </w:rPr>
              <w:t>ing</w:t>
            </w:r>
            <w:proofErr w:type="spellEnd"/>
            <w:r>
              <w:rPr>
                <w:b/>
                <w:bCs/>
                <w:sz w:val="20"/>
                <w:szCs w:val="20"/>
              </w:rPr>
              <w:t>’, ‘-</w:t>
            </w:r>
            <w:proofErr w:type="spellStart"/>
            <w:r>
              <w:rPr>
                <w:b/>
                <w:bCs/>
                <w:sz w:val="20"/>
                <w:szCs w:val="20"/>
              </w:rPr>
              <w:t>er</w:t>
            </w:r>
            <w:proofErr w:type="spellEnd"/>
            <w:r>
              <w:rPr>
                <w:b/>
                <w:bCs/>
                <w:sz w:val="20"/>
                <w:szCs w:val="20"/>
              </w:rPr>
              <w:t>’, ‘-</w:t>
            </w:r>
            <w:proofErr w:type="spellStart"/>
            <w:r>
              <w:rPr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b/>
                <w:bCs/>
                <w:sz w:val="20"/>
                <w:szCs w:val="20"/>
              </w:rPr>
              <w:t>’, ‘-</w:t>
            </w:r>
            <w:proofErr w:type="spellStart"/>
            <w:r>
              <w:rPr>
                <w:b/>
                <w:bCs/>
                <w:sz w:val="20"/>
                <w:szCs w:val="20"/>
              </w:rPr>
              <w:t>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’) </w:t>
            </w:r>
          </w:p>
        </w:tc>
        <w:tc>
          <w:tcPr>
            <w:tcW w:w="3552" w:type="dxa"/>
          </w:tcPr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(cornering, fastening, awakening)</w:t>
            </w:r>
          </w:p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(beginner, gardener, forgetter)</w:t>
            </w:r>
          </w:p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(awaken)</w:t>
            </w:r>
          </w:p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(cornered, fastened, gardened)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DC692B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4A1A06">
        <w:tc>
          <w:tcPr>
            <w:tcW w:w="2735" w:type="dxa"/>
            <w:vMerge w:val="restart"/>
          </w:tcPr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4A1A06">
              <w:rPr>
                <w:rFonts w:ascii="Sassoon Primary" w:hAnsi="Sassoon Primary"/>
                <w:sz w:val="20"/>
                <w:szCs w:val="20"/>
              </w:rPr>
              <w:t>Spring</w:t>
            </w:r>
          </w:p>
          <w:p w:rsidR="00DC692B" w:rsidRPr="00E46B6F" w:rsidRDefault="00DC692B" w:rsidP="00E46B6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E46B6F" w:rsidRDefault="00DC692B" w:rsidP="00E46B6F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/g/ </w:t>
            </w:r>
            <w:r>
              <w:rPr>
                <w:b/>
                <w:bCs/>
                <w:sz w:val="20"/>
                <w:szCs w:val="20"/>
              </w:rPr>
              <w:t>sound spelt ‘</w:t>
            </w:r>
            <w:proofErr w:type="spellStart"/>
            <w:r>
              <w:rPr>
                <w:b/>
                <w:bCs/>
                <w:sz w:val="20"/>
                <w:szCs w:val="20"/>
              </w:rPr>
              <w:t>gu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DC692B" w:rsidRPr="00554D15" w:rsidRDefault="00DC692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(guide, guitar, guard, guidebook, guest, guardian, guarantee, guess)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4A1A06" w:rsidRDefault="00DC692B" w:rsidP="00E46B6F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Words with endings sounding like 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tʃə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spelt ‘-</w:t>
            </w:r>
            <w:proofErr w:type="spellStart"/>
            <w:r>
              <w:rPr>
                <w:b/>
                <w:bCs/>
                <w:sz w:val="20"/>
                <w:szCs w:val="20"/>
              </w:rPr>
              <w:t>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(mixture, adventure, capture, feature, moisture, nature, picture, vulture)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B979E6" w:rsidRDefault="00DC692B" w:rsidP="00B979E6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Possessive apostrophe with plurals </w:t>
            </w:r>
          </w:p>
        </w:tc>
        <w:tc>
          <w:tcPr>
            <w:tcW w:w="3552" w:type="dxa"/>
          </w:tcPr>
          <w:p w:rsidR="00DC692B" w:rsidRPr="00554D15" w:rsidRDefault="00DC692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The dogs’ kennel, The cows’ field, the teachers’ book, the boys’ football.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E46B6F" w:rsidRDefault="00DC692B" w:rsidP="00E46B6F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Homophones </w:t>
            </w:r>
          </w:p>
        </w:tc>
        <w:tc>
          <w:tcPr>
            <w:tcW w:w="3552" w:type="dxa"/>
          </w:tcPr>
          <w:p w:rsidR="00DC692B" w:rsidRPr="00E46B6F" w:rsidRDefault="00DC692B" w:rsidP="00E46B6F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scene/seen, mail/male, bawl/ball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Pr="00E46B6F" w:rsidRDefault="00DC692B" w:rsidP="00E46B6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Prefixes ‘anti-’ and ‘inter-’ </w:t>
            </w:r>
          </w:p>
        </w:tc>
        <w:tc>
          <w:tcPr>
            <w:tcW w:w="3552" w:type="dxa"/>
          </w:tcPr>
          <w:p w:rsidR="00DC692B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(antibiotic, antidote, antihistamine, antihero)</w:t>
            </w:r>
          </w:p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(international, intergalactic, intertwine, interrupt)</w:t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53553B">
        <w:tc>
          <w:tcPr>
            <w:tcW w:w="2735" w:type="dxa"/>
            <w:vMerge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C692B" w:rsidRDefault="00DC692B" w:rsidP="00E46B6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Endings that sound like </w:t>
            </w:r>
          </w:p>
          <w:p w:rsidR="00DC692B" w:rsidRDefault="00DC692B" w:rsidP="00E46B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ʃən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spelt ‘-</w:t>
            </w:r>
            <w:proofErr w:type="spellStart"/>
            <w:r>
              <w:rPr>
                <w:b/>
                <w:bCs/>
                <w:sz w:val="20"/>
                <w:szCs w:val="20"/>
              </w:rPr>
              <w:t>cian</w:t>
            </w:r>
            <w:proofErr w:type="spellEnd"/>
            <w:r>
              <w:rPr>
                <w:b/>
                <w:bCs/>
                <w:sz w:val="20"/>
                <w:szCs w:val="20"/>
              </w:rPr>
              <w:t>’, ‘-</w:t>
            </w:r>
            <w:proofErr w:type="spellStart"/>
            <w:r>
              <w:rPr>
                <w:b/>
                <w:bCs/>
                <w:sz w:val="20"/>
                <w:szCs w:val="20"/>
              </w:rPr>
              <w:t>sion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’, </w:t>
            </w:r>
          </w:p>
          <w:p w:rsidR="00DC692B" w:rsidRPr="00554D15" w:rsidRDefault="00DC692B" w:rsidP="00E46B6F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‘-</w:t>
            </w:r>
            <w:proofErr w:type="spellStart"/>
            <w:r>
              <w:rPr>
                <w:b/>
                <w:bCs/>
                <w:sz w:val="20"/>
                <w:szCs w:val="20"/>
              </w:rPr>
              <w:t>tion</w:t>
            </w:r>
            <w:proofErr w:type="spellEnd"/>
            <w:r>
              <w:rPr>
                <w:b/>
                <w:bCs/>
                <w:sz w:val="20"/>
                <w:szCs w:val="20"/>
              </w:rPr>
              <w:t>’ and ‘-</w:t>
            </w:r>
            <w:proofErr w:type="spellStart"/>
            <w:r>
              <w:rPr>
                <w:b/>
                <w:bCs/>
                <w:sz w:val="20"/>
                <w:szCs w:val="20"/>
              </w:rPr>
              <w:t>ssion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F33B9E" wp14:editId="5242CD67">
                  <wp:extent cx="1959429" cy="91173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571" cy="92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C692B" w:rsidRPr="00554D15" w:rsidTr="00A96882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C692B" w:rsidRPr="00554D15" w:rsidRDefault="00DC692B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A96882" w:rsidRPr="00554D15" w:rsidTr="0053553B">
        <w:tc>
          <w:tcPr>
            <w:tcW w:w="2735" w:type="dxa"/>
            <w:vMerge w:val="restart"/>
          </w:tcPr>
          <w:p w:rsidR="00A96882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Summer:</w:t>
            </w:r>
          </w:p>
          <w:p w:rsidR="00A96882" w:rsidRDefault="00A96882" w:rsidP="00EA64D9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A96882" w:rsidRDefault="00A96882" w:rsidP="00EA64D9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Revision:</w:t>
            </w:r>
          </w:p>
          <w:p w:rsidR="00A96882" w:rsidRPr="00E46B6F" w:rsidRDefault="00A96882" w:rsidP="00FF7B1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6B6F">
              <w:rPr>
                <w:b/>
                <w:bCs/>
                <w:sz w:val="20"/>
                <w:szCs w:val="20"/>
              </w:rPr>
              <w:t xml:space="preserve"> Apostrophes for possession, including singular and plural </w:t>
            </w:r>
          </w:p>
          <w:p w:rsidR="00A96882" w:rsidRPr="00E46B6F" w:rsidRDefault="00A96882" w:rsidP="00E46B6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6B6F">
              <w:rPr>
                <w:b/>
                <w:bCs/>
                <w:sz w:val="20"/>
                <w:szCs w:val="20"/>
              </w:rPr>
              <w:t xml:space="preserve">Prefixes ‘un-’, ‘dis-’, ‘in-’, ‘re-’, ‘sub-’, ‘inter-’, ‘super-’, ‘anti-’, ‘auto-’ </w:t>
            </w:r>
          </w:p>
        </w:tc>
        <w:tc>
          <w:tcPr>
            <w:tcW w:w="3063" w:type="dxa"/>
          </w:tcPr>
          <w:p w:rsidR="00A96882" w:rsidRDefault="00A96882" w:rsidP="00E46B6F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Words with the </w:t>
            </w:r>
            <w:r>
              <w:rPr>
                <w:sz w:val="20"/>
                <w:szCs w:val="20"/>
              </w:rPr>
              <w:t xml:space="preserve">/s/ </w:t>
            </w:r>
            <w:r>
              <w:rPr>
                <w:b/>
                <w:bCs/>
                <w:sz w:val="20"/>
                <w:szCs w:val="20"/>
              </w:rPr>
              <w:t xml:space="preserve">sound </w:t>
            </w:r>
          </w:p>
          <w:p w:rsidR="00A96882" w:rsidRPr="00B979E6" w:rsidRDefault="00A96882" w:rsidP="00E46B6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spelt ‘</w:t>
            </w:r>
            <w:proofErr w:type="spellStart"/>
            <w:r>
              <w:rPr>
                <w:b/>
                <w:bCs/>
                <w:sz w:val="20"/>
                <w:szCs w:val="20"/>
              </w:rPr>
              <w:t>sc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(Latin in origin) </w:t>
            </w:r>
          </w:p>
        </w:tc>
        <w:tc>
          <w:tcPr>
            <w:tcW w:w="3552" w:type="dxa"/>
          </w:tcPr>
          <w:p w:rsidR="00A96882" w:rsidRPr="00842F87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(science, abscess, ascend, descend, scene, scissors, scented, crescent)</w:t>
            </w:r>
          </w:p>
        </w:tc>
        <w:tc>
          <w:tcPr>
            <w:tcW w:w="1106" w:type="dxa"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A96882" w:rsidRPr="00554D15" w:rsidTr="0053553B">
        <w:tc>
          <w:tcPr>
            <w:tcW w:w="2735" w:type="dxa"/>
            <w:vMerge/>
          </w:tcPr>
          <w:p w:rsidR="00A96882" w:rsidRPr="00842F87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A96882" w:rsidRDefault="00A96882" w:rsidP="00E46B6F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Endings that sound like </w:t>
            </w:r>
          </w:p>
          <w:p w:rsidR="00A96882" w:rsidRPr="00842F87" w:rsidRDefault="00A96882" w:rsidP="00E46B6F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ʒən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spelt ‘</w:t>
            </w:r>
            <w:proofErr w:type="spellStart"/>
            <w:r>
              <w:rPr>
                <w:b/>
                <w:bCs/>
                <w:sz w:val="20"/>
                <w:szCs w:val="20"/>
              </w:rPr>
              <w:t>sion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A96882" w:rsidRPr="00842F87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(division, collision, explosion, corrosion, conclusion, extension, comprehension, evasion, intrusion, conclusion)</w:t>
            </w:r>
          </w:p>
        </w:tc>
        <w:tc>
          <w:tcPr>
            <w:tcW w:w="1106" w:type="dxa"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A96882" w:rsidRPr="00554D15" w:rsidTr="0053553B">
        <w:tc>
          <w:tcPr>
            <w:tcW w:w="2735" w:type="dxa"/>
            <w:vMerge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A96882" w:rsidRPr="00B979E6" w:rsidRDefault="00A96882" w:rsidP="00E46B6F">
            <w:pPr>
              <w:pStyle w:val="Default"/>
              <w:spacing w:before="6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Homophones </w:t>
            </w:r>
          </w:p>
        </w:tc>
        <w:tc>
          <w:tcPr>
            <w:tcW w:w="3552" w:type="dxa"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(weather, whether, who’s, whose, medal, meddle, missed, mist, team, teem)</w:t>
            </w:r>
          </w:p>
        </w:tc>
        <w:tc>
          <w:tcPr>
            <w:tcW w:w="1106" w:type="dxa"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A96882" w:rsidRPr="00554D15" w:rsidTr="0053553B">
        <w:tc>
          <w:tcPr>
            <w:tcW w:w="2735" w:type="dxa"/>
            <w:vMerge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A96882" w:rsidRPr="00B979E6" w:rsidRDefault="00A96882" w:rsidP="00B979E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Suffix ‘-</w:t>
            </w:r>
            <w:proofErr w:type="spellStart"/>
            <w:r>
              <w:rPr>
                <w:b/>
                <w:bCs/>
                <w:sz w:val="20"/>
                <w:szCs w:val="20"/>
              </w:rPr>
              <w:t>ous’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(furious, famous, courageous, mountainous, envious, spacious, poisonous, dangerous, various)</w:t>
            </w:r>
          </w:p>
        </w:tc>
        <w:tc>
          <w:tcPr>
            <w:tcW w:w="1106" w:type="dxa"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A96882" w:rsidRPr="00554D15" w:rsidTr="0053553B">
        <w:tc>
          <w:tcPr>
            <w:tcW w:w="2735" w:type="dxa"/>
            <w:vMerge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A96882" w:rsidRPr="00B979E6" w:rsidRDefault="00A96882" w:rsidP="00E46B6F">
            <w:pPr>
              <w:pStyle w:val="Default"/>
              <w:spacing w:before="6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Suffix ‘-</w:t>
            </w:r>
            <w:proofErr w:type="spellStart"/>
            <w:r>
              <w:rPr>
                <w:b/>
                <w:bCs/>
                <w:sz w:val="20"/>
                <w:szCs w:val="20"/>
              </w:rPr>
              <w:t>ly</w:t>
            </w:r>
            <w:proofErr w:type="spellEnd"/>
            <w:r>
              <w:rPr>
                <w:b/>
                <w:bCs/>
                <w:sz w:val="20"/>
                <w:szCs w:val="20"/>
              </w:rPr>
              <w:t>’ added to words ending in ‘y’, ‘le’ and ‘</w:t>
            </w:r>
            <w:proofErr w:type="spellStart"/>
            <w:r>
              <w:rPr>
                <w:b/>
                <w:bCs/>
                <w:sz w:val="20"/>
                <w:szCs w:val="20"/>
              </w:rPr>
              <w:t>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A96882" w:rsidRDefault="00A96882" w:rsidP="00B979E6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(happily, easily, greedily)</w:t>
            </w:r>
          </w:p>
          <w:p w:rsidR="00A96882" w:rsidRDefault="00A96882" w:rsidP="00B979E6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(gently, simply, humbly)</w:t>
            </w:r>
          </w:p>
          <w:p w:rsidR="00A96882" w:rsidRPr="00B979E6" w:rsidRDefault="00A96882" w:rsidP="00B979E6">
            <w:pPr>
              <w:pStyle w:val="Defaul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(basically, frantically, dramatically)</w:t>
            </w:r>
          </w:p>
        </w:tc>
        <w:tc>
          <w:tcPr>
            <w:tcW w:w="1106" w:type="dxa"/>
          </w:tcPr>
          <w:p w:rsidR="00A96882" w:rsidRPr="00554D15" w:rsidRDefault="00A96882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</w:tbl>
    <w:p w:rsidR="00D817E7" w:rsidRDefault="00D817E7" w:rsidP="00B979E6"/>
    <w:p w:rsidR="004A1A06" w:rsidRDefault="004A1A06" w:rsidP="00B979E6"/>
    <w:sectPr w:rsidR="004A1A06" w:rsidSect="00A0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026"/>
    <w:multiLevelType w:val="hybridMultilevel"/>
    <w:tmpl w:val="B4CED72C"/>
    <w:lvl w:ilvl="0" w:tplc="D27C66D0">
      <w:numFmt w:val="bullet"/>
      <w:lvlText w:val="-"/>
      <w:lvlJc w:val="left"/>
      <w:pPr>
        <w:ind w:left="72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4C9C"/>
    <w:multiLevelType w:val="hybridMultilevel"/>
    <w:tmpl w:val="D442A258"/>
    <w:lvl w:ilvl="0" w:tplc="7ADA8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1"/>
    <w:rsid w:val="000153A6"/>
    <w:rsid w:val="00031E42"/>
    <w:rsid w:val="00265982"/>
    <w:rsid w:val="00281621"/>
    <w:rsid w:val="002B10DA"/>
    <w:rsid w:val="00393080"/>
    <w:rsid w:val="003C5D7D"/>
    <w:rsid w:val="003E2455"/>
    <w:rsid w:val="0043158F"/>
    <w:rsid w:val="004A1A06"/>
    <w:rsid w:val="004A6A3E"/>
    <w:rsid w:val="005178AD"/>
    <w:rsid w:val="0053553B"/>
    <w:rsid w:val="00554D15"/>
    <w:rsid w:val="006F2ECC"/>
    <w:rsid w:val="00803802"/>
    <w:rsid w:val="00842F87"/>
    <w:rsid w:val="00981AE9"/>
    <w:rsid w:val="00A022E1"/>
    <w:rsid w:val="00A6494E"/>
    <w:rsid w:val="00A96882"/>
    <w:rsid w:val="00B22821"/>
    <w:rsid w:val="00B53DDF"/>
    <w:rsid w:val="00B555F8"/>
    <w:rsid w:val="00B979E6"/>
    <w:rsid w:val="00CC201F"/>
    <w:rsid w:val="00CF1BD0"/>
    <w:rsid w:val="00D50483"/>
    <w:rsid w:val="00D5690E"/>
    <w:rsid w:val="00D817E7"/>
    <w:rsid w:val="00DC692B"/>
    <w:rsid w:val="00E27A73"/>
    <w:rsid w:val="00E46B6F"/>
    <w:rsid w:val="00EA64D9"/>
    <w:rsid w:val="00FC5E6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1D5"/>
  <w15:chartTrackingRefBased/>
  <w15:docId w15:val="{24852C76-E9B0-409E-9609-C147CC6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5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H8bvU1sLTAhUCzRQKHdC2BoYQjRwIBw&amp;url=http://langstone-jun.portsmouth.sch.uk/&amp;psig=AFQjCNEH4p__pkV1FForha69DC9f25Y2dg&amp;ust=1493315117569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WESSELS</dc:creator>
  <cp:keywords/>
  <dc:description/>
  <cp:lastModifiedBy>Josh Phelan</cp:lastModifiedBy>
  <cp:revision>7</cp:revision>
  <cp:lastPrinted>2017-04-25T14:45:00Z</cp:lastPrinted>
  <dcterms:created xsi:type="dcterms:W3CDTF">2020-03-30T11:12:00Z</dcterms:created>
  <dcterms:modified xsi:type="dcterms:W3CDTF">2020-04-21T09:14:00Z</dcterms:modified>
</cp:coreProperties>
</file>