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5" w:rsidRDefault="00D5690E" w:rsidP="00B979E6">
      <w:pPr>
        <w:rPr>
          <w:rFonts w:ascii="Sassoon Primary" w:hAnsi="Sassoon Primary"/>
          <w:b/>
          <w:sz w:val="20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-393375</wp:posOffset>
            </wp:positionV>
            <wp:extent cx="1031225" cy="1031225"/>
            <wp:effectExtent l="0" t="0" r="0" b="0"/>
            <wp:wrapNone/>
            <wp:docPr id="2" name="irc_mi" descr="Image result for langstone junior portsmout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ngstone junior portsmout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25" cy="10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5E" w:rsidRPr="00554D15">
        <w:rPr>
          <w:rFonts w:ascii="Sassoon Primary" w:hAnsi="Sassoon Primary"/>
          <w:b/>
          <w:sz w:val="20"/>
          <w:szCs w:val="20"/>
        </w:rPr>
        <w:t xml:space="preserve"> </w:t>
      </w:r>
    </w:p>
    <w:p w:rsidR="00E27A73" w:rsidRDefault="00265982" w:rsidP="00B979E6">
      <w:pPr>
        <w:jc w:val="center"/>
        <w:rPr>
          <w:rFonts w:ascii="Sassoon Primary" w:hAnsi="Sassoon Primary"/>
          <w:b/>
          <w:sz w:val="20"/>
          <w:szCs w:val="20"/>
          <w:u w:val="single"/>
        </w:rPr>
      </w:pPr>
      <w:r w:rsidRPr="004A6A3E">
        <w:rPr>
          <w:rFonts w:ascii="Sassoon Primary" w:hAnsi="Sassoon Primary"/>
          <w:b/>
          <w:sz w:val="20"/>
          <w:szCs w:val="20"/>
          <w:u w:val="single"/>
        </w:rPr>
        <w:t>Y</w:t>
      </w:r>
      <w:r w:rsidR="00997FCC">
        <w:rPr>
          <w:rFonts w:ascii="Sassoon Primary" w:hAnsi="Sassoon Primary"/>
          <w:b/>
          <w:sz w:val="20"/>
          <w:szCs w:val="20"/>
          <w:u w:val="single"/>
        </w:rPr>
        <w:t>ear 6</w:t>
      </w:r>
    </w:p>
    <w:p w:rsidR="0053553B" w:rsidRDefault="0053553B" w:rsidP="00B979E6">
      <w:pPr>
        <w:rPr>
          <w:rFonts w:ascii="Sassoon Primary" w:hAnsi="Sassoon Primary"/>
          <w:b/>
          <w:sz w:val="20"/>
          <w:szCs w:val="20"/>
          <w:u w:val="single"/>
        </w:rPr>
      </w:pPr>
    </w:p>
    <w:p w:rsidR="00265982" w:rsidRPr="00554D15" w:rsidRDefault="0053553B" w:rsidP="00B979E6">
      <w:pPr>
        <w:rPr>
          <w:rFonts w:ascii="Sassoon Primary" w:hAnsi="Sassoon Primary"/>
          <w:sz w:val="20"/>
          <w:szCs w:val="20"/>
        </w:rPr>
      </w:pPr>
      <w:r>
        <w:rPr>
          <w:rFonts w:ascii="Sassoon Primary" w:hAnsi="Sassoon Primary"/>
          <w:sz w:val="20"/>
          <w:szCs w:val="20"/>
        </w:rPr>
        <w:t>Spelling</w:t>
      </w:r>
      <w:r w:rsidR="00997FCC">
        <w:rPr>
          <w:rFonts w:ascii="Sassoon Primary" w:hAnsi="Sassoon Primary"/>
          <w:sz w:val="20"/>
          <w:szCs w:val="20"/>
        </w:rPr>
        <w:t xml:space="preserve"> progression document for year 6</w:t>
      </w:r>
      <w:r>
        <w:rPr>
          <w:rFonts w:ascii="Sassoon Primary" w:hAnsi="Sassoon Primary"/>
          <w:sz w:val="20"/>
          <w:szCs w:val="20"/>
        </w:rPr>
        <w:t>. This includes what should be taught, what should be revised while still leaving room for teachers</w:t>
      </w:r>
      <w:r w:rsidR="00B979E6">
        <w:rPr>
          <w:rFonts w:ascii="Sassoon Primary" w:hAnsi="Sassoon Primary"/>
          <w:sz w:val="20"/>
          <w:szCs w:val="20"/>
        </w:rPr>
        <w:t xml:space="preserve"> to use assessment for learning</w:t>
      </w:r>
      <w:r>
        <w:rPr>
          <w:rFonts w:ascii="Sassoon Primary" w:hAnsi="Sassoon Primary"/>
          <w:sz w:val="20"/>
          <w:szCs w:val="20"/>
        </w:rPr>
        <w:t xml:space="preserve"> to adapt to the needs of the children</w:t>
      </w:r>
      <w:r w:rsidR="00A6494E">
        <w:rPr>
          <w:rFonts w:ascii="Sassoon Primary" w:hAnsi="Sassoon Primary"/>
          <w:sz w:val="20"/>
          <w:szCs w:val="20"/>
        </w:rPr>
        <w:t>. Throughout the units ch</w:t>
      </w:r>
      <w:r w:rsidR="00B979E6">
        <w:rPr>
          <w:rFonts w:ascii="Sassoon Primary" w:hAnsi="Sassoon Primary"/>
          <w:sz w:val="20"/>
          <w:szCs w:val="20"/>
        </w:rPr>
        <w:t>ildre</w:t>
      </w:r>
      <w:r w:rsidR="00A6494E">
        <w:rPr>
          <w:rFonts w:ascii="Sassoon Primary" w:hAnsi="Sassoon Primary"/>
          <w:sz w:val="20"/>
          <w:szCs w:val="20"/>
        </w:rPr>
        <w:t xml:space="preserve">n will also be taught a </w:t>
      </w:r>
      <w:r w:rsidR="00B979E6">
        <w:rPr>
          <w:rFonts w:ascii="Sassoon Primary" w:hAnsi="Sassoon Primary"/>
          <w:sz w:val="20"/>
          <w:szCs w:val="20"/>
        </w:rPr>
        <w:t>variety</w:t>
      </w:r>
      <w:r w:rsidR="00A6494E">
        <w:rPr>
          <w:rFonts w:ascii="Sassoon Primary" w:hAnsi="Sassoon Primary"/>
          <w:sz w:val="20"/>
          <w:szCs w:val="20"/>
        </w:rPr>
        <w:t xml:space="preserve"> of revision </w:t>
      </w:r>
      <w:r w:rsidR="004A1A06">
        <w:rPr>
          <w:rFonts w:ascii="Sassoon Primary" w:hAnsi="Sassoon Primary"/>
          <w:sz w:val="20"/>
          <w:szCs w:val="20"/>
        </w:rPr>
        <w:t>strategies</w:t>
      </w:r>
      <w:r w:rsidR="00A6494E">
        <w:rPr>
          <w:rFonts w:ascii="Sassoon Primary" w:hAnsi="Sassoon Primary"/>
          <w:sz w:val="20"/>
          <w:szCs w:val="20"/>
        </w:rPr>
        <w:t xml:space="preserve"> and assessed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063"/>
        <w:gridCol w:w="3552"/>
        <w:gridCol w:w="1106"/>
      </w:tblGrid>
      <w:tr w:rsidR="0053553B" w:rsidRPr="00554D15" w:rsidTr="00E36BCF">
        <w:tc>
          <w:tcPr>
            <w:tcW w:w="2735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Term</w:t>
            </w:r>
          </w:p>
        </w:tc>
        <w:tc>
          <w:tcPr>
            <w:tcW w:w="3063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554D15">
              <w:rPr>
                <w:rFonts w:ascii="Sassoon Primary" w:hAnsi="Sassoon Primary"/>
                <w:b/>
                <w:sz w:val="20"/>
                <w:szCs w:val="20"/>
              </w:rPr>
              <w:t>Objective</w:t>
            </w:r>
          </w:p>
        </w:tc>
        <w:tc>
          <w:tcPr>
            <w:tcW w:w="3552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Examples</w:t>
            </w:r>
          </w:p>
        </w:tc>
        <w:tc>
          <w:tcPr>
            <w:tcW w:w="1106" w:type="dxa"/>
          </w:tcPr>
          <w:p w:rsidR="0053553B" w:rsidRPr="00554D15" w:rsidRDefault="00981AE9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Taught</w:t>
            </w:r>
          </w:p>
        </w:tc>
      </w:tr>
      <w:tr w:rsidR="004A1A06" w:rsidRPr="00554D15" w:rsidTr="00E36BCF">
        <w:tc>
          <w:tcPr>
            <w:tcW w:w="2735" w:type="dxa"/>
            <w:vMerge w:val="restart"/>
          </w:tcPr>
          <w:p w:rsidR="004A1A06" w:rsidRPr="004E73AE" w:rsidRDefault="004A1A06" w:rsidP="00B979E6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4E73AE">
              <w:rPr>
                <w:rFonts w:ascii="Sassoon Primary" w:hAnsi="Sassoon Primary"/>
                <w:sz w:val="20"/>
                <w:szCs w:val="20"/>
                <w:u w:val="single"/>
              </w:rPr>
              <w:t>Autumn</w:t>
            </w:r>
          </w:p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4A1A06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D95626" w:rsidRDefault="00CB7BAF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Words from the Statutory word list</w:t>
            </w:r>
          </w:p>
          <w:p w:rsidR="00CB7BAF" w:rsidRPr="004A1A06" w:rsidRDefault="00CB7BAF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Word ending able, ably,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ible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ibly</w:t>
            </w:r>
            <w:proofErr w:type="spellEnd"/>
          </w:p>
        </w:tc>
        <w:tc>
          <w:tcPr>
            <w:tcW w:w="3063" w:type="dxa"/>
          </w:tcPr>
          <w:p w:rsidR="004A1A06" w:rsidRPr="00C277F7" w:rsidRDefault="00CB7BAF" w:rsidP="00B979E6">
            <w:pPr>
              <w:pStyle w:val="Default"/>
              <w:spacing w:before="5"/>
              <w:rPr>
                <w:sz w:val="20"/>
                <w:szCs w:val="20"/>
                <w:highlight w:val="yellow"/>
              </w:rPr>
            </w:pPr>
            <w:r w:rsidRPr="00C277F7">
              <w:rPr>
                <w:sz w:val="20"/>
                <w:szCs w:val="20"/>
                <w:highlight w:val="yellow"/>
              </w:rPr>
              <w:t>Words ending in –</w:t>
            </w:r>
            <w:proofErr w:type="spellStart"/>
            <w:r w:rsidRPr="00C277F7">
              <w:rPr>
                <w:sz w:val="20"/>
                <w:szCs w:val="20"/>
                <w:highlight w:val="yellow"/>
              </w:rPr>
              <w:t>fer</w:t>
            </w:r>
            <w:proofErr w:type="spellEnd"/>
          </w:p>
        </w:tc>
        <w:tc>
          <w:tcPr>
            <w:tcW w:w="3552" w:type="dxa"/>
          </w:tcPr>
          <w:p w:rsidR="004A1A06" w:rsidRPr="0053553B" w:rsidRDefault="005C274B" w:rsidP="00B979E6">
            <w:pPr>
              <w:pStyle w:val="Default"/>
              <w:rPr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referring, referred, referral, preferring, preferred, transferring, transferred reference, referee, preference, transference</w:t>
            </w:r>
          </w:p>
        </w:tc>
        <w:tc>
          <w:tcPr>
            <w:tcW w:w="1106" w:type="dxa"/>
          </w:tcPr>
          <w:p w:rsidR="004A1A06" w:rsidRPr="00554D15" w:rsidRDefault="004A1A06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95626" w:rsidRPr="00554D15" w:rsidTr="00E36BCF">
        <w:tc>
          <w:tcPr>
            <w:tcW w:w="2735" w:type="dxa"/>
            <w:vMerge/>
          </w:tcPr>
          <w:p w:rsidR="00D95626" w:rsidRPr="00554D15" w:rsidRDefault="00D95626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95626" w:rsidRPr="00C277F7" w:rsidRDefault="00CB7BAF" w:rsidP="00D9562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C277F7">
              <w:rPr>
                <w:sz w:val="20"/>
                <w:szCs w:val="20"/>
                <w:highlight w:val="yellow"/>
              </w:rPr>
              <w:t>Homophones (‘</w:t>
            </w:r>
            <w:proofErr w:type="spellStart"/>
            <w:r w:rsidRPr="00C277F7">
              <w:rPr>
                <w:sz w:val="20"/>
                <w:szCs w:val="20"/>
                <w:highlight w:val="yellow"/>
              </w:rPr>
              <w:t>ce</w:t>
            </w:r>
            <w:proofErr w:type="spellEnd"/>
            <w:r w:rsidRPr="00C277F7">
              <w:rPr>
                <w:sz w:val="20"/>
                <w:szCs w:val="20"/>
                <w:highlight w:val="yellow"/>
              </w:rPr>
              <w:t>’/’se’)</w:t>
            </w:r>
          </w:p>
        </w:tc>
        <w:tc>
          <w:tcPr>
            <w:tcW w:w="3552" w:type="dxa"/>
          </w:tcPr>
          <w:p w:rsidR="00D95626" w:rsidRPr="00163C02" w:rsidRDefault="005C274B" w:rsidP="00D95626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 xml:space="preserve">advice/advise device/devise licence/license practice/practise </w:t>
            </w:r>
          </w:p>
        </w:tc>
        <w:tc>
          <w:tcPr>
            <w:tcW w:w="1106" w:type="dxa"/>
          </w:tcPr>
          <w:p w:rsidR="00D95626" w:rsidRPr="00554D15" w:rsidRDefault="00D95626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E36BCF" w:rsidRPr="00554D15" w:rsidTr="008253DC">
        <w:trPr>
          <w:trHeight w:val="1190"/>
        </w:trPr>
        <w:tc>
          <w:tcPr>
            <w:tcW w:w="2735" w:type="dxa"/>
            <w:vMerge/>
          </w:tcPr>
          <w:p w:rsidR="00E36BCF" w:rsidRPr="00554D15" w:rsidRDefault="00E36BCF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E36BCF" w:rsidRPr="0053553B" w:rsidRDefault="00E36BCF" w:rsidP="00D95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ending with –</w:t>
            </w:r>
            <w:proofErr w:type="spellStart"/>
            <w:r>
              <w:rPr>
                <w:sz w:val="20"/>
                <w:szCs w:val="20"/>
              </w:rPr>
              <w:t>cious</w:t>
            </w:r>
            <w:proofErr w:type="spellEnd"/>
            <w:r>
              <w:rPr>
                <w:sz w:val="20"/>
                <w:szCs w:val="20"/>
              </w:rPr>
              <w:t xml:space="preserve"> or –</w:t>
            </w:r>
            <w:proofErr w:type="spellStart"/>
            <w:r>
              <w:rPr>
                <w:sz w:val="20"/>
                <w:szCs w:val="20"/>
              </w:rPr>
              <w:t>tious</w:t>
            </w:r>
            <w:proofErr w:type="spellEnd"/>
          </w:p>
        </w:tc>
        <w:tc>
          <w:tcPr>
            <w:tcW w:w="3552" w:type="dxa"/>
          </w:tcPr>
          <w:p w:rsidR="00E36BCF" w:rsidRPr="00D95626" w:rsidRDefault="00E36BCF" w:rsidP="00D95626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vicious, precious, conscious, delicious, malicious, suspicious ambitious, cautious, fictitious, infectious, nutritious</w:t>
            </w:r>
          </w:p>
        </w:tc>
        <w:tc>
          <w:tcPr>
            <w:tcW w:w="1106" w:type="dxa"/>
          </w:tcPr>
          <w:p w:rsidR="00E36BCF" w:rsidRPr="00554D15" w:rsidRDefault="00E36BCF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E36BCF" w:rsidRPr="00554D15" w:rsidTr="00E36BCF">
        <w:tc>
          <w:tcPr>
            <w:tcW w:w="2735" w:type="dxa"/>
            <w:vMerge w:val="restart"/>
          </w:tcPr>
          <w:p w:rsidR="00E36BCF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 w:rsidRPr="004A1A06">
              <w:rPr>
                <w:rFonts w:ascii="Sassoon Primary" w:hAnsi="Sassoon Primary"/>
                <w:sz w:val="20"/>
                <w:szCs w:val="20"/>
              </w:rPr>
              <w:t>Spring</w:t>
            </w:r>
          </w:p>
          <w:p w:rsidR="00E36BCF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E36BCF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E36BCF" w:rsidRPr="00CB7BAF" w:rsidRDefault="00E36BCF" w:rsidP="00E36BCF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Words from the Statutory word list</w:t>
            </w:r>
          </w:p>
          <w:p w:rsidR="00E36BCF" w:rsidRDefault="00E36BCF" w:rsidP="00E36BCF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Word with ‘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ough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</w:t>
            </w:r>
          </w:p>
          <w:p w:rsidR="00E36BCF" w:rsidRPr="004A1A06" w:rsidRDefault="00E36BCF" w:rsidP="00E36BCF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Homophones taught in KS2</w:t>
            </w:r>
          </w:p>
        </w:tc>
        <w:tc>
          <w:tcPr>
            <w:tcW w:w="3063" w:type="dxa"/>
          </w:tcPr>
          <w:p w:rsidR="00E36BCF" w:rsidRPr="004A1A06" w:rsidRDefault="00E36BCF" w:rsidP="00E36BC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Words ending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cial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 and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tial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</w:t>
            </w:r>
          </w:p>
        </w:tc>
        <w:tc>
          <w:tcPr>
            <w:tcW w:w="3552" w:type="dxa"/>
          </w:tcPr>
          <w:p w:rsidR="00E36BCF" w:rsidRPr="00163C02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official, special, artificial,</w:t>
            </w:r>
          </w:p>
          <w:p w:rsidR="00E36BCF" w:rsidRPr="00554D15" w:rsidRDefault="00E36BCF" w:rsidP="00E36BCF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partial, confidential, essential</w:t>
            </w:r>
          </w:p>
        </w:tc>
        <w:tc>
          <w:tcPr>
            <w:tcW w:w="1106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E36BCF" w:rsidRPr="00554D15" w:rsidTr="00293D00">
        <w:trPr>
          <w:trHeight w:val="1430"/>
        </w:trPr>
        <w:tc>
          <w:tcPr>
            <w:tcW w:w="2735" w:type="dxa"/>
            <w:vMerge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E36BCF" w:rsidRPr="004A1A06" w:rsidRDefault="00E36BCF" w:rsidP="00E36BCF">
            <w:pPr>
              <w:pStyle w:val="Default"/>
              <w:rPr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Homophones</w:t>
            </w:r>
          </w:p>
        </w:tc>
        <w:tc>
          <w:tcPr>
            <w:tcW w:w="3552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Dessert/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esert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. Stationary/stationery, complement/compliment, principle/principal, prophet/profit</w:t>
            </w:r>
          </w:p>
        </w:tc>
        <w:tc>
          <w:tcPr>
            <w:tcW w:w="1106" w:type="dxa"/>
          </w:tcPr>
          <w:p w:rsidR="00E36BCF" w:rsidRPr="00554D15" w:rsidRDefault="00E36BCF" w:rsidP="00E36BCF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E36BCF" w:rsidRPr="00554D15" w:rsidTr="00E36BCF">
        <w:tc>
          <w:tcPr>
            <w:tcW w:w="2735" w:type="dxa"/>
            <w:vMerge w:val="restart"/>
          </w:tcPr>
          <w:p w:rsidR="00E36BCF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Summer:</w:t>
            </w:r>
          </w:p>
          <w:p w:rsidR="00E36BCF" w:rsidRDefault="00E36BCF" w:rsidP="00E36BCF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assoon Primary" w:hAnsi="Sassoon Primary"/>
                <w:sz w:val="20"/>
                <w:szCs w:val="20"/>
              </w:rPr>
              <w:t>Words from the Statutory word list</w:t>
            </w:r>
          </w:p>
          <w:p w:rsidR="00E36BCF" w:rsidRPr="00B979E6" w:rsidRDefault="00E36BCF" w:rsidP="00E36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E36BCF" w:rsidRPr="00554D15" w:rsidRDefault="00E36BCF" w:rsidP="00E36BCF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Words ending in ‘-ant’,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ance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 and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ancy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’.</w:t>
            </w:r>
          </w:p>
        </w:tc>
        <w:tc>
          <w:tcPr>
            <w:tcW w:w="3552" w:type="dxa"/>
          </w:tcPr>
          <w:p w:rsidR="00E36BCF" w:rsidRPr="00554D15" w:rsidRDefault="00E36BCF" w:rsidP="00E36BCF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observant, observance, (observation), expectant (expectation), hesitant, hesitancy (hesitation), tolerant, tolerance (toleration), substance (substantial)</w:t>
            </w:r>
          </w:p>
        </w:tc>
        <w:tc>
          <w:tcPr>
            <w:tcW w:w="1106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E36BCF" w:rsidRPr="00554D15" w:rsidTr="00E36BCF">
        <w:tc>
          <w:tcPr>
            <w:tcW w:w="2735" w:type="dxa"/>
            <w:vMerge/>
          </w:tcPr>
          <w:p w:rsidR="00E36BCF" w:rsidRPr="00842F87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Words ending,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ent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’,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ence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 and ‘-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ency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’</w:t>
            </w:r>
          </w:p>
        </w:tc>
        <w:tc>
          <w:tcPr>
            <w:tcW w:w="3552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innocent, innocence, decent, decency, frequent, frequency, confident, confidence (confidential) assistant, assistance, obedient, obedience, independent, independence</w:t>
            </w:r>
          </w:p>
        </w:tc>
        <w:tc>
          <w:tcPr>
            <w:tcW w:w="1106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E36BCF" w:rsidRPr="00554D15" w:rsidTr="004D6E63">
        <w:trPr>
          <w:trHeight w:val="950"/>
        </w:trPr>
        <w:tc>
          <w:tcPr>
            <w:tcW w:w="2735" w:type="dxa"/>
            <w:vMerge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</w:t>
            </w:r>
          </w:p>
        </w:tc>
        <w:tc>
          <w:tcPr>
            <w:tcW w:w="3552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Draught/draft, dissent/descent, precede/proceed, wary/weary</w:t>
            </w:r>
          </w:p>
        </w:tc>
        <w:tc>
          <w:tcPr>
            <w:tcW w:w="1106" w:type="dxa"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E36BCF" w:rsidRPr="00554D15" w:rsidTr="00E36BCF">
        <w:trPr>
          <w:gridAfter w:val="3"/>
          <w:wAfter w:w="7721" w:type="dxa"/>
          <w:trHeight w:val="230"/>
        </w:trPr>
        <w:tc>
          <w:tcPr>
            <w:tcW w:w="2735" w:type="dxa"/>
            <w:vMerge/>
          </w:tcPr>
          <w:p w:rsidR="00E36BCF" w:rsidRPr="00554D15" w:rsidRDefault="00E36BCF" w:rsidP="00E36BCF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:rsidR="00D817E7" w:rsidRDefault="00D817E7" w:rsidP="00B979E6"/>
    <w:p w:rsidR="004A1A06" w:rsidRDefault="004A1A06" w:rsidP="00B979E6"/>
    <w:sectPr w:rsidR="004A1A06" w:rsidSect="00A0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026"/>
    <w:multiLevelType w:val="hybridMultilevel"/>
    <w:tmpl w:val="B4CED72C"/>
    <w:lvl w:ilvl="0" w:tplc="D27C66D0">
      <w:numFmt w:val="bullet"/>
      <w:lvlText w:val="-"/>
      <w:lvlJc w:val="left"/>
      <w:pPr>
        <w:ind w:left="72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1"/>
    <w:rsid w:val="000153A6"/>
    <w:rsid w:val="00031E42"/>
    <w:rsid w:val="001844A9"/>
    <w:rsid w:val="00265982"/>
    <w:rsid w:val="002B10DA"/>
    <w:rsid w:val="002C625C"/>
    <w:rsid w:val="003A3A17"/>
    <w:rsid w:val="003C5D7D"/>
    <w:rsid w:val="0043158F"/>
    <w:rsid w:val="0045236C"/>
    <w:rsid w:val="004A1A06"/>
    <w:rsid w:val="004A6A3E"/>
    <w:rsid w:val="004E73AE"/>
    <w:rsid w:val="005178AD"/>
    <w:rsid w:val="0053553B"/>
    <w:rsid w:val="00554D15"/>
    <w:rsid w:val="005C274B"/>
    <w:rsid w:val="005E1F1B"/>
    <w:rsid w:val="006F2ECC"/>
    <w:rsid w:val="007338DD"/>
    <w:rsid w:val="00803802"/>
    <w:rsid w:val="00842F87"/>
    <w:rsid w:val="00981AE9"/>
    <w:rsid w:val="00997FCC"/>
    <w:rsid w:val="00A022E1"/>
    <w:rsid w:val="00A6494E"/>
    <w:rsid w:val="00B22821"/>
    <w:rsid w:val="00B555F8"/>
    <w:rsid w:val="00B979E6"/>
    <w:rsid w:val="00BA2169"/>
    <w:rsid w:val="00C277F7"/>
    <w:rsid w:val="00C36D89"/>
    <w:rsid w:val="00CB7BAF"/>
    <w:rsid w:val="00CC201F"/>
    <w:rsid w:val="00CF1BD0"/>
    <w:rsid w:val="00D5690E"/>
    <w:rsid w:val="00D817E7"/>
    <w:rsid w:val="00D95626"/>
    <w:rsid w:val="00E27A73"/>
    <w:rsid w:val="00E36BCF"/>
    <w:rsid w:val="00E87970"/>
    <w:rsid w:val="00FC5E6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52C76-E9B0-409E-9609-C147CC6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5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H8bvU1sLTAhUCzRQKHdC2BoYQjRwIBw&amp;url=http://langstone-jun.portsmouth.sch.uk/&amp;psig=AFQjCNEH4p__pkV1FForha69DC9f25Y2dg&amp;ust=1493315117569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WESSELS</dc:creator>
  <cp:keywords/>
  <dc:description/>
  <cp:lastModifiedBy>lknight</cp:lastModifiedBy>
  <cp:revision>5</cp:revision>
  <cp:lastPrinted>2017-04-25T14:45:00Z</cp:lastPrinted>
  <dcterms:created xsi:type="dcterms:W3CDTF">2020-04-21T12:14:00Z</dcterms:created>
  <dcterms:modified xsi:type="dcterms:W3CDTF">2020-10-28T19:01:00Z</dcterms:modified>
</cp:coreProperties>
</file>